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64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4"/>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2"/>
        <w:gridCol w:w="1644"/>
        <w:gridCol w:w="1644"/>
        <w:gridCol w:w="2101"/>
        <w:gridCol w:w="2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368"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商南县集体建设用地基准地价表（</w:t>
            </w:r>
            <w:r>
              <w:rPr>
                <w:rStyle w:val="8"/>
                <w:lang w:val="en-US" w:eastAsia="zh-CN" w:bidi="ar"/>
              </w:rPr>
              <w:t>2019</w:t>
            </w:r>
            <w:r>
              <w:rPr>
                <w:rStyle w:val="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土地用途</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0"/>
                <w:rFonts w:hAnsi="宋体"/>
                <w:lang w:val="en-US" w:eastAsia="zh-CN" w:bidi="ar"/>
              </w:rPr>
              <w:t>单位面积地价</w:t>
            </w:r>
            <w:r>
              <w:rPr>
                <w:rStyle w:val="11"/>
                <w:rFonts w:eastAsia="仿宋_GB2312"/>
                <w:lang w:val="en-US" w:eastAsia="zh-CN" w:bidi="ar"/>
              </w:rPr>
              <w:t xml:space="preserve">  </w:t>
            </w:r>
            <w:r>
              <w:rPr>
                <w:rStyle w:val="10"/>
                <w:rFonts w:hAnsi="宋体"/>
                <w:lang w:val="en-US" w:eastAsia="zh-CN" w:bidi="ar"/>
              </w:rPr>
              <w:t>元</w:t>
            </w:r>
            <w:r>
              <w:rPr>
                <w:rStyle w:val="11"/>
                <w:rFonts w:eastAsia="仿宋_GB2312"/>
                <w:lang w:val="en-US" w:eastAsia="zh-CN" w:bidi="ar"/>
              </w:rPr>
              <w:t>/</w:t>
            </w:r>
            <w:r>
              <w:rPr>
                <w:rStyle w:val="10"/>
                <w:rFonts w:hAnsi="宋体"/>
                <w:lang w:val="en-US" w:eastAsia="zh-CN" w:bidi="ar"/>
              </w:rPr>
              <w:t>平方米（万元</w:t>
            </w:r>
            <w:r>
              <w:rPr>
                <w:rStyle w:val="11"/>
                <w:rFonts w:eastAsia="仿宋_GB2312"/>
                <w:lang w:val="en-US" w:eastAsia="zh-CN" w:bidi="ar"/>
              </w:rPr>
              <w:t>/</w:t>
            </w:r>
            <w:r>
              <w:rPr>
                <w:rStyle w:val="10"/>
                <w:rFonts w:hAnsi="宋体"/>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商服用地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宅基地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工矿仓储用地</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公共管理与公共服务用地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300</w:t>
            </w:r>
            <w:r>
              <w:rPr>
                <w:rStyle w:val="10"/>
                <w:rFonts w:hAnsi="Times New Roman"/>
                <w:lang w:val="en-US" w:eastAsia="zh-CN" w:bidi="ar"/>
              </w:rPr>
              <w:t>（</w:t>
            </w:r>
            <w:r>
              <w:rPr>
                <w:rStyle w:val="11"/>
                <w:rFonts w:eastAsia="宋体"/>
                <w:lang w:val="en-US" w:eastAsia="zh-CN" w:bidi="ar"/>
              </w:rPr>
              <w:t>20</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240</w:t>
            </w:r>
            <w:r>
              <w:rPr>
                <w:rStyle w:val="10"/>
                <w:rFonts w:hAnsi="Times New Roman"/>
                <w:lang w:val="en-US" w:eastAsia="zh-CN" w:bidi="ar"/>
              </w:rPr>
              <w:t>（</w:t>
            </w:r>
            <w:r>
              <w:rPr>
                <w:rStyle w:val="11"/>
                <w:rFonts w:eastAsia="宋体"/>
                <w:lang w:val="en-US" w:eastAsia="zh-CN" w:bidi="ar"/>
              </w:rPr>
              <w:t>16</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180</w:t>
            </w:r>
            <w:r>
              <w:rPr>
                <w:rStyle w:val="10"/>
                <w:rFonts w:hAnsi="Times New Roman"/>
                <w:lang w:val="en-US" w:eastAsia="zh-CN" w:bidi="ar"/>
              </w:rPr>
              <w:t>（</w:t>
            </w:r>
            <w:r>
              <w:rPr>
                <w:rStyle w:val="11"/>
                <w:rFonts w:eastAsia="宋体"/>
                <w:lang w:val="en-US" w:eastAsia="zh-CN" w:bidi="ar"/>
              </w:rPr>
              <w:t>12</w:t>
            </w:r>
            <w:r>
              <w:rPr>
                <w:rStyle w:val="10"/>
                <w:rFonts w:hAnsi="Times New Roman"/>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210</w:t>
            </w:r>
            <w:r>
              <w:rPr>
                <w:rStyle w:val="10"/>
                <w:rFonts w:hAnsi="Times New Roman"/>
                <w:lang w:val="en-US" w:eastAsia="zh-CN" w:bidi="ar"/>
              </w:rPr>
              <w:t>（</w:t>
            </w:r>
            <w:r>
              <w:rPr>
                <w:rStyle w:val="11"/>
                <w:rFonts w:eastAsia="宋体"/>
                <w:lang w:val="en-US" w:eastAsia="zh-CN" w:bidi="ar"/>
              </w:rPr>
              <w:t>14</w:t>
            </w:r>
            <w:r>
              <w:rPr>
                <w:rStyle w:val="10"/>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195</w:t>
            </w:r>
            <w:r>
              <w:rPr>
                <w:rStyle w:val="10"/>
                <w:rFonts w:hAnsi="Times New Roman"/>
                <w:lang w:val="en-US" w:eastAsia="zh-CN" w:bidi="ar"/>
              </w:rPr>
              <w:t>（</w:t>
            </w:r>
            <w:r>
              <w:rPr>
                <w:rStyle w:val="11"/>
                <w:rFonts w:eastAsia="宋体"/>
                <w:lang w:val="en-US" w:eastAsia="zh-CN" w:bidi="ar"/>
              </w:rPr>
              <w:t>13</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180</w:t>
            </w:r>
            <w:r>
              <w:rPr>
                <w:rStyle w:val="10"/>
                <w:rFonts w:hAnsi="Times New Roman"/>
                <w:lang w:val="en-US" w:eastAsia="zh-CN" w:bidi="ar"/>
              </w:rPr>
              <w:t>（</w:t>
            </w:r>
            <w:r>
              <w:rPr>
                <w:rStyle w:val="11"/>
                <w:rFonts w:eastAsia="宋体"/>
                <w:lang w:val="en-US" w:eastAsia="zh-CN" w:bidi="ar"/>
              </w:rPr>
              <w:t>12</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135</w:t>
            </w:r>
            <w:r>
              <w:rPr>
                <w:rStyle w:val="10"/>
                <w:rFonts w:hAnsi="Times New Roman"/>
                <w:lang w:val="en-US" w:eastAsia="zh-CN" w:bidi="ar"/>
              </w:rPr>
              <w:t>（</w:t>
            </w:r>
            <w:r>
              <w:rPr>
                <w:rStyle w:val="11"/>
                <w:rFonts w:eastAsia="宋体"/>
                <w:lang w:val="en-US" w:eastAsia="zh-CN" w:bidi="ar"/>
              </w:rPr>
              <w:t>9</w:t>
            </w:r>
            <w:r>
              <w:rPr>
                <w:rStyle w:val="10"/>
                <w:rFonts w:hAnsi="Times New Roman"/>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165</w:t>
            </w:r>
            <w:r>
              <w:rPr>
                <w:rStyle w:val="10"/>
                <w:rFonts w:hAnsi="Times New Roman"/>
                <w:lang w:val="en-US" w:eastAsia="zh-CN" w:bidi="ar"/>
              </w:rPr>
              <w:t>（</w:t>
            </w:r>
            <w:r>
              <w:rPr>
                <w:rStyle w:val="11"/>
                <w:rFonts w:eastAsia="宋体"/>
                <w:lang w:val="en-US" w:eastAsia="zh-CN" w:bidi="ar"/>
              </w:rPr>
              <w:t>11</w:t>
            </w:r>
            <w:r>
              <w:rPr>
                <w:rStyle w:val="10"/>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165</w:t>
            </w:r>
            <w:r>
              <w:rPr>
                <w:rStyle w:val="10"/>
                <w:rFonts w:hAnsi="Times New Roman"/>
                <w:lang w:val="en-US" w:eastAsia="zh-CN" w:bidi="ar"/>
              </w:rPr>
              <w:t>（</w:t>
            </w:r>
            <w:r>
              <w:rPr>
                <w:rStyle w:val="11"/>
                <w:rFonts w:eastAsia="宋体"/>
                <w:lang w:val="en-US" w:eastAsia="zh-CN" w:bidi="ar"/>
              </w:rPr>
              <w:t>11</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135</w:t>
            </w:r>
            <w:r>
              <w:rPr>
                <w:rStyle w:val="10"/>
                <w:rFonts w:hAnsi="Times New Roman"/>
                <w:lang w:val="en-US" w:eastAsia="zh-CN" w:bidi="ar"/>
              </w:rPr>
              <w:t>（</w:t>
            </w:r>
            <w:r>
              <w:rPr>
                <w:rStyle w:val="11"/>
                <w:rFonts w:eastAsia="宋体"/>
                <w:lang w:val="en-US" w:eastAsia="zh-CN" w:bidi="ar"/>
              </w:rPr>
              <w:t>9</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105</w:t>
            </w:r>
            <w:r>
              <w:rPr>
                <w:rStyle w:val="10"/>
                <w:rFonts w:hAnsi="Times New Roman"/>
                <w:lang w:val="en-US" w:eastAsia="zh-CN" w:bidi="ar"/>
              </w:rPr>
              <w:t>（</w:t>
            </w:r>
            <w:r>
              <w:rPr>
                <w:rStyle w:val="11"/>
                <w:rFonts w:eastAsia="宋体"/>
                <w:lang w:val="en-US" w:eastAsia="zh-CN" w:bidi="ar"/>
              </w:rPr>
              <w:t>7</w:t>
            </w:r>
            <w:r>
              <w:rPr>
                <w:rStyle w:val="10"/>
                <w:rFonts w:hAnsi="Times New Roman"/>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120</w:t>
            </w:r>
            <w:r>
              <w:rPr>
                <w:rStyle w:val="10"/>
                <w:rFonts w:hAnsi="Times New Roman"/>
                <w:lang w:val="en-US" w:eastAsia="zh-CN" w:bidi="ar"/>
              </w:rPr>
              <w:t>（</w:t>
            </w:r>
            <w:r>
              <w:rPr>
                <w:rStyle w:val="11"/>
                <w:rFonts w:eastAsia="宋体"/>
                <w:lang w:val="en-US" w:eastAsia="zh-CN" w:bidi="ar"/>
              </w:rPr>
              <w:t>8</w:t>
            </w:r>
            <w:r>
              <w:rPr>
                <w:rStyle w:val="10"/>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135</w:t>
            </w:r>
            <w:r>
              <w:rPr>
                <w:rStyle w:val="10"/>
                <w:rFonts w:hAnsi="Times New Roman"/>
                <w:lang w:val="en-US" w:eastAsia="zh-CN" w:bidi="ar"/>
              </w:rPr>
              <w:t>（</w:t>
            </w:r>
            <w:r>
              <w:rPr>
                <w:rStyle w:val="11"/>
                <w:rFonts w:eastAsia="宋体"/>
                <w:lang w:val="en-US" w:eastAsia="zh-CN" w:bidi="ar"/>
              </w:rPr>
              <w:t>9</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120</w:t>
            </w:r>
            <w:r>
              <w:rPr>
                <w:rStyle w:val="10"/>
                <w:rFonts w:hAnsi="Times New Roman"/>
                <w:lang w:val="en-US" w:eastAsia="zh-CN" w:bidi="ar"/>
              </w:rPr>
              <w:t>（</w:t>
            </w:r>
            <w:r>
              <w:rPr>
                <w:rStyle w:val="11"/>
                <w:rFonts w:eastAsia="宋体"/>
                <w:lang w:val="en-US" w:eastAsia="zh-CN" w:bidi="ar"/>
              </w:rPr>
              <w:t>8</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90</w:t>
            </w:r>
            <w:r>
              <w:rPr>
                <w:rStyle w:val="10"/>
                <w:rFonts w:hAnsi="Times New Roman"/>
                <w:lang w:val="en-US" w:eastAsia="zh-CN" w:bidi="ar"/>
              </w:rPr>
              <w:t>（</w:t>
            </w:r>
            <w:r>
              <w:rPr>
                <w:rStyle w:val="11"/>
                <w:rFonts w:eastAsia="宋体"/>
                <w:lang w:val="en-US" w:eastAsia="zh-CN" w:bidi="ar"/>
              </w:rPr>
              <w:t>6</w:t>
            </w:r>
            <w:r>
              <w:rPr>
                <w:rStyle w:val="10"/>
                <w:rFonts w:hAnsi="Times New Roman"/>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105</w:t>
            </w:r>
            <w:r>
              <w:rPr>
                <w:rStyle w:val="10"/>
                <w:rFonts w:hAnsi="Times New Roman"/>
                <w:lang w:val="en-US" w:eastAsia="zh-CN" w:bidi="ar"/>
              </w:rPr>
              <w:t>（</w:t>
            </w:r>
            <w:r>
              <w:rPr>
                <w:rStyle w:val="11"/>
                <w:rFonts w:eastAsia="宋体"/>
                <w:lang w:val="en-US" w:eastAsia="zh-CN" w:bidi="ar"/>
              </w:rPr>
              <w:t>7</w:t>
            </w:r>
            <w:r>
              <w:rPr>
                <w:rStyle w:val="10"/>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120</w:t>
            </w:r>
            <w:r>
              <w:rPr>
                <w:rStyle w:val="10"/>
                <w:rFonts w:hAnsi="Times New Roman"/>
                <w:lang w:val="en-US" w:eastAsia="zh-CN" w:bidi="ar"/>
              </w:rPr>
              <w:t>（</w:t>
            </w:r>
            <w:r>
              <w:rPr>
                <w:rStyle w:val="11"/>
                <w:rFonts w:eastAsia="宋体"/>
                <w:lang w:val="en-US" w:eastAsia="zh-CN" w:bidi="ar"/>
              </w:rPr>
              <w:t>8</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90</w:t>
            </w:r>
            <w:r>
              <w:rPr>
                <w:rStyle w:val="10"/>
                <w:rFonts w:hAnsi="Times New Roman"/>
                <w:lang w:val="en-US" w:eastAsia="zh-CN" w:bidi="ar"/>
              </w:rPr>
              <w:t>（</w:t>
            </w:r>
            <w:r>
              <w:rPr>
                <w:rStyle w:val="11"/>
                <w:rFonts w:eastAsia="宋体"/>
                <w:lang w:val="en-US" w:eastAsia="zh-CN" w:bidi="ar"/>
              </w:rPr>
              <w:t>6</w:t>
            </w:r>
            <w:r>
              <w:rPr>
                <w:rStyle w:val="10"/>
                <w:rFonts w:hAnsi="Times New Roman"/>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75</w:t>
            </w:r>
            <w:r>
              <w:rPr>
                <w:rStyle w:val="10"/>
                <w:rFonts w:hAnsi="Times New Roman"/>
                <w:lang w:val="en-US" w:eastAsia="zh-CN" w:bidi="ar"/>
              </w:rPr>
              <w:t>（</w:t>
            </w:r>
            <w:r>
              <w:rPr>
                <w:rStyle w:val="11"/>
                <w:rFonts w:eastAsia="宋体"/>
                <w:lang w:val="en-US" w:eastAsia="zh-CN" w:bidi="ar"/>
              </w:rPr>
              <w:t>5</w:t>
            </w:r>
            <w:r>
              <w:rPr>
                <w:rStyle w:val="10"/>
                <w:rFonts w:hAnsi="Times New Roman"/>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83</w:t>
            </w:r>
            <w:r>
              <w:rPr>
                <w:rStyle w:val="10"/>
                <w:rFonts w:hAnsi="Times New Roman"/>
                <w:lang w:val="en-US" w:eastAsia="zh-CN" w:bidi="ar"/>
              </w:rPr>
              <w:t>（</w:t>
            </w:r>
            <w:r>
              <w:rPr>
                <w:rStyle w:val="11"/>
                <w:rFonts w:eastAsia="宋体"/>
                <w:lang w:val="en-US" w:eastAsia="zh-CN" w:bidi="ar"/>
              </w:rPr>
              <w:t>5.5</w:t>
            </w:r>
            <w:r>
              <w:rPr>
                <w:rStyle w:val="10"/>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使用说明</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c>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1</w:t>
            </w:r>
            <w:r>
              <w:rPr>
                <w:rStyle w:val="10"/>
                <w:rFonts w:hAnsi="Times New Roman"/>
                <w:lang w:val="en-US" w:eastAsia="zh-CN" w:bidi="ar"/>
              </w:rPr>
              <w:t>、基准地价内涵：</w:t>
            </w:r>
            <w:r>
              <w:rPr>
                <w:rStyle w:val="12"/>
                <w:lang w:val="en-US" w:eastAsia="zh-CN" w:bidi="ar"/>
              </w:rPr>
              <w:t>①</w:t>
            </w:r>
            <w:r>
              <w:rPr>
                <w:rStyle w:val="10"/>
                <w:rFonts w:hAnsi="Times New Roman"/>
                <w:lang w:val="en-US" w:eastAsia="zh-CN" w:bidi="ar"/>
              </w:rPr>
              <w:t>估价基准日：</w:t>
            </w:r>
            <w:r>
              <w:rPr>
                <w:rStyle w:val="11"/>
                <w:rFonts w:eastAsia="宋体"/>
                <w:lang w:val="en-US" w:eastAsia="zh-CN" w:bidi="ar"/>
              </w:rPr>
              <w:t>2019</w:t>
            </w:r>
            <w:r>
              <w:rPr>
                <w:rStyle w:val="10"/>
                <w:rFonts w:hAnsi="Times New Roman"/>
                <w:lang w:val="en-US" w:eastAsia="zh-CN" w:bidi="ar"/>
              </w:rPr>
              <w:t>年</w:t>
            </w:r>
            <w:r>
              <w:rPr>
                <w:rStyle w:val="11"/>
                <w:rFonts w:eastAsia="宋体"/>
                <w:lang w:val="en-US" w:eastAsia="zh-CN" w:bidi="ar"/>
              </w:rPr>
              <w:t>12</w:t>
            </w:r>
            <w:r>
              <w:rPr>
                <w:rStyle w:val="10"/>
                <w:rFonts w:hAnsi="Times New Roman"/>
                <w:lang w:val="en-US" w:eastAsia="zh-CN" w:bidi="ar"/>
              </w:rPr>
              <w:t>月</w:t>
            </w:r>
            <w:r>
              <w:rPr>
                <w:rStyle w:val="11"/>
                <w:rFonts w:eastAsia="宋体"/>
                <w:lang w:val="en-US" w:eastAsia="zh-CN" w:bidi="ar"/>
              </w:rPr>
              <w:t>31</w:t>
            </w:r>
            <w:r>
              <w:rPr>
                <w:rStyle w:val="10"/>
                <w:rFonts w:hAnsi="Times New Roman"/>
                <w:lang w:val="en-US" w:eastAsia="zh-CN" w:bidi="ar"/>
              </w:rPr>
              <w:t>日；</w:t>
            </w:r>
            <w:r>
              <w:rPr>
                <w:rStyle w:val="12"/>
                <w:lang w:val="en-US" w:eastAsia="zh-CN" w:bidi="ar"/>
              </w:rPr>
              <w:t>②</w:t>
            </w:r>
            <w:r>
              <w:rPr>
                <w:rStyle w:val="10"/>
                <w:rFonts w:hAnsi="Times New Roman"/>
                <w:lang w:val="en-US" w:eastAsia="zh-CN" w:bidi="ar"/>
              </w:rPr>
              <w:t>容积率：一级容积率为商服</w:t>
            </w:r>
            <w:r>
              <w:rPr>
                <w:rStyle w:val="11"/>
                <w:rFonts w:eastAsia="宋体"/>
                <w:lang w:val="en-US" w:eastAsia="zh-CN" w:bidi="ar"/>
              </w:rPr>
              <w:t>1.2</w:t>
            </w:r>
            <w:r>
              <w:rPr>
                <w:rStyle w:val="10"/>
                <w:rFonts w:hAnsi="Times New Roman"/>
                <w:lang w:val="en-US" w:eastAsia="zh-CN" w:bidi="ar"/>
              </w:rPr>
              <w:t>、宅基地</w:t>
            </w:r>
            <w:r>
              <w:rPr>
                <w:rStyle w:val="11"/>
                <w:rFonts w:eastAsia="宋体"/>
                <w:lang w:val="en-US" w:eastAsia="zh-CN" w:bidi="ar"/>
              </w:rPr>
              <w:t>1.5</w:t>
            </w:r>
            <w:r>
              <w:rPr>
                <w:rStyle w:val="10"/>
                <w:rFonts w:hAnsi="Times New Roman"/>
                <w:lang w:val="en-US" w:eastAsia="zh-CN" w:bidi="ar"/>
              </w:rPr>
              <w:t>、工矿仓储</w:t>
            </w:r>
            <w:r>
              <w:rPr>
                <w:rStyle w:val="11"/>
                <w:rFonts w:eastAsia="宋体"/>
                <w:lang w:val="en-US" w:eastAsia="zh-CN" w:bidi="ar"/>
              </w:rPr>
              <w:t>1.0</w:t>
            </w:r>
            <w:r>
              <w:rPr>
                <w:rStyle w:val="10"/>
                <w:rFonts w:hAnsi="Times New Roman"/>
                <w:lang w:val="en-US" w:eastAsia="zh-CN" w:bidi="ar"/>
              </w:rPr>
              <w:t>、公共管理与公共服务用地</w:t>
            </w:r>
            <w:r>
              <w:rPr>
                <w:rStyle w:val="11"/>
                <w:rFonts w:eastAsia="宋体"/>
                <w:lang w:val="en-US" w:eastAsia="zh-CN" w:bidi="ar"/>
              </w:rPr>
              <w:t>1.0</w:t>
            </w:r>
            <w:r>
              <w:rPr>
                <w:rStyle w:val="10"/>
                <w:rFonts w:hAnsi="Times New Roman"/>
                <w:lang w:val="en-US" w:eastAsia="zh-CN" w:bidi="ar"/>
              </w:rPr>
              <w:t>，二级至五级商服、宅基地、工矿仓储用地、公共管理与公共服务用地均为</w:t>
            </w:r>
            <w:r>
              <w:rPr>
                <w:rStyle w:val="11"/>
                <w:rFonts w:eastAsia="宋体"/>
                <w:lang w:val="en-US" w:eastAsia="zh-CN" w:bidi="ar"/>
              </w:rPr>
              <w:t>1.0</w:t>
            </w:r>
            <w:r>
              <w:rPr>
                <w:rStyle w:val="10"/>
                <w:rFonts w:hAnsi="Times New Roman"/>
                <w:lang w:val="en-US" w:eastAsia="zh-CN" w:bidi="ar"/>
              </w:rPr>
              <w:t>；</w:t>
            </w:r>
            <w:r>
              <w:rPr>
                <w:rStyle w:val="12"/>
                <w:lang w:val="en-US" w:eastAsia="zh-CN" w:bidi="ar"/>
              </w:rPr>
              <w:t>③</w:t>
            </w:r>
            <w:r>
              <w:rPr>
                <w:rStyle w:val="10"/>
                <w:rFonts w:hAnsi="Times New Roman"/>
                <w:lang w:val="en-US" w:eastAsia="zh-CN" w:bidi="ar"/>
              </w:rPr>
              <w:t>土地开发程度：一级开发程度为</w:t>
            </w:r>
            <w:r>
              <w:rPr>
                <w:rStyle w:val="11"/>
                <w:rFonts w:eastAsia="宋体"/>
                <w:lang w:val="en-US" w:eastAsia="zh-CN" w:bidi="ar"/>
              </w:rPr>
              <w:t>“</w:t>
            </w:r>
            <w:r>
              <w:rPr>
                <w:rStyle w:val="10"/>
                <w:rFonts w:hAnsi="Times New Roman"/>
                <w:lang w:val="en-US" w:eastAsia="zh-CN" w:bidi="ar"/>
              </w:rPr>
              <w:t>五通一平</w:t>
            </w:r>
            <w:r>
              <w:rPr>
                <w:rStyle w:val="11"/>
                <w:rFonts w:eastAsia="宋体"/>
                <w:lang w:val="en-US" w:eastAsia="zh-CN" w:bidi="ar"/>
              </w:rPr>
              <w:t>”</w:t>
            </w:r>
            <w:r>
              <w:rPr>
                <w:rStyle w:val="10"/>
                <w:rFonts w:hAnsi="Times New Roman"/>
                <w:lang w:val="en-US" w:eastAsia="zh-CN" w:bidi="ar"/>
              </w:rPr>
              <w:t>，二级至五级</w:t>
            </w:r>
            <w:r>
              <w:rPr>
                <w:rStyle w:val="11"/>
                <w:rFonts w:eastAsia="宋体"/>
                <w:lang w:val="en-US" w:eastAsia="zh-CN" w:bidi="ar"/>
              </w:rPr>
              <w:t>“</w:t>
            </w:r>
            <w:r>
              <w:rPr>
                <w:rStyle w:val="10"/>
                <w:rFonts w:hAnsi="Times New Roman"/>
                <w:lang w:val="en-US" w:eastAsia="zh-CN" w:bidi="ar"/>
              </w:rPr>
              <w:t>四通一平</w:t>
            </w:r>
            <w:r>
              <w:rPr>
                <w:rStyle w:val="11"/>
                <w:rFonts w:eastAsia="宋体"/>
                <w:lang w:val="en-US" w:eastAsia="zh-CN" w:bidi="ar"/>
              </w:rPr>
              <w:t>”</w:t>
            </w:r>
            <w:r>
              <w:rPr>
                <w:rStyle w:val="10"/>
                <w:rFonts w:hAnsi="Times New Roman"/>
                <w:lang w:val="en-US" w:eastAsia="zh-CN" w:bidi="ar"/>
              </w:rPr>
              <w:t>；</w:t>
            </w:r>
            <w:r>
              <w:rPr>
                <w:rStyle w:val="12"/>
                <w:lang w:val="en-US" w:eastAsia="zh-CN" w:bidi="ar"/>
              </w:rPr>
              <w:t>④</w:t>
            </w:r>
            <w:r>
              <w:rPr>
                <w:rStyle w:val="10"/>
                <w:rFonts w:hAnsi="Times New Roman"/>
                <w:lang w:val="en-US" w:eastAsia="zh-CN" w:bidi="ar"/>
              </w:rPr>
              <w:t>土地使用年期：商服用地</w:t>
            </w:r>
            <w:r>
              <w:rPr>
                <w:rStyle w:val="11"/>
                <w:rFonts w:eastAsia="宋体"/>
                <w:lang w:val="en-US" w:eastAsia="zh-CN" w:bidi="ar"/>
              </w:rPr>
              <w:t>40</w:t>
            </w:r>
            <w:r>
              <w:rPr>
                <w:rStyle w:val="10"/>
                <w:rFonts w:hAnsi="Times New Roman"/>
                <w:lang w:val="en-US" w:eastAsia="zh-CN" w:bidi="ar"/>
              </w:rPr>
              <w:t>年，工矿仓储用地</w:t>
            </w:r>
            <w:r>
              <w:rPr>
                <w:rStyle w:val="11"/>
                <w:rFonts w:eastAsia="宋体"/>
                <w:lang w:val="en-US" w:eastAsia="zh-CN" w:bidi="ar"/>
              </w:rPr>
              <w:t>50</w:t>
            </w:r>
            <w:r>
              <w:rPr>
                <w:rStyle w:val="10"/>
                <w:rFonts w:hAnsi="Times New Roman"/>
                <w:lang w:val="en-US" w:eastAsia="zh-CN" w:bidi="ar"/>
              </w:rPr>
              <w:t>年，公共管理与公共服务用地</w:t>
            </w:r>
            <w:r>
              <w:rPr>
                <w:rStyle w:val="11"/>
                <w:rFonts w:eastAsia="宋体"/>
                <w:lang w:val="en-US" w:eastAsia="zh-CN" w:bidi="ar"/>
              </w:rPr>
              <w:t>50</w:t>
            </w:r>
            <w:r>
              <w:rPr>
                <w:rStyle w:val="10"/>
                <w:rFonts w:hAnsi="Times New Roman"/>
                <w:lang w:val="en-US" w:eastAsia="zh-CN" w:bidi="ar"/>
              </w:rPr>
              <w:t>年，宅基地为无年期限制。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2</w:t>
            </w:r>
            <w:r>
              <w:rPr>
                <w:rStyle w:val="10"/>
                <w:rFonts w:hAnsi="Times New Roman"/>
                <w:lang w:val="en-US" w:eastAsia="zh-CN" w:bidi="ar"/>
              </w:rPr>
              <w:t>、土地级别：各用途土地级别以《商南县集体建设用地基准地价图》为准。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3</w:t>
            </w:r>
            <w:r>
              <w:rPr>
                <w:rStyle w:val="10"/>
                <w:rFonts w:hAnsi="Times New Roman"/>
                <w:lang w:val="en-US" w:eastAsia="zh-CN" w:bidi="ar"/>
              </w:rPr>
              <w:t>、土地用途分类：商服用地包括零售商业、批发市场用地、餐饮用地、旅馆用地、商务金融用地、娱乐用地以及其他商服用地。工矿仓储用地包括工业用地、采矿用地、仓储用地。公共管理与公共服务用地包括机关团体用地、新闻出版用地、教育用地、科研用地、医疗卫生用地、社会福利用地、文化设施用地、体育用地、公用设施用地、公园与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eastAsia="宋体"/>
                <w:lang w:val="en-US" w:eastAsia="zh-CN" w:bidi="ar"/>
              </w:rPr>
              <w:t>4</w:t>
            </w:r>
            <w:r>
              <w:rPr>
                <w:rStyle w:val="10"/>
                <w:rFonts w:hAnsi="Times New Roman"/>
                <w:lang w:val="en-US" w:eastAsia="zh-CN" w:bidi="ar"/>
              </w:rPr>
              <w:t>、对于集体建设用地与城镇基准地价重叠区域，属于国有土地的，参照城镇基准地价成果执行；属于集体建设用地的，在入市流转时，参照集体建设用地基准地价成果执行。</w:t>
            </w:r>
          </w:p>
        </w:tc>
      </w:tr>
    </w:tbl>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32"/>
          <w:szCs w:val="32"/>
          <w:u w:val="none"/>
          <w:lang w:val="en-US" w:eastAsia="zh-CN" w:bidi="ar"/>
        </w:rPr>
      </w:pPr>
      <w:bookmarkStart w:id="0" w:name="_GoBack"/>
      <w:bookmarkEnd w:id="0"/>
      <w:r>
        <w:rPr>
          <w:rFonts w:hint="default" w:ascii="Times New Roman" w:hAnsi="Times New Roman" w:eastAsia="黑体" w:cs="Times New Roman"/>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商洛市商南县农用地基准地价表（2019）</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tbl>
      <w:tblPr>
        <w:tblStyle w:val="4"/>
        <w:tblW w:w="90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8"/>
        <w:gridCol w:w="2336"/>
        <w:gridCol w:w="2336"/>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级别</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地类</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元</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平方米</w:t>
            </w:r>
          </w:p>
        </w:tc>
        <w:tc>
          <w:tcPr>
            <w:tcW w:w="256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万元</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2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Ⅰ级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旱地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Ⅱ级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旱地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Ⅲ级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旱地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Ⅳ级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旱地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使用说明</w:t>
            </w:r>
          </w:p>
        </w:tc>
        <w:tc>
          <w:tcPr>
            <w:tcW w:w="7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、基准地价内涵：①估价基准日：</w:t>
            </w:r>
            <w:r>
              <w:rPr>
                <w:rFonts w:hint="default" w:ascii="Times New Roman" w:hAnsi="Times New Roman" w:eastAsia="宋体" w:cs="Times New Roman"/>
                <w:i w:val="0"/>
                <w:iCs w:val="0"/>
                <w:color w:val="000000"/>
                <w:kern w:val="0"/>
                <w:sz w:val="24"/>
                <w:szCs w:val="24"/>
                <w:u w:val="none"/>
                <w:lang w:val="en-US" w:eastAsia="zh-CN" w:bidi="ar"/>
              </w:rPr>
              <w:t>2019</w:t>
            </w:r>
            <w:r>
              <w:rPr>
                <w:rFonts w:hint="eastAsia" w:ascii="仿宋_GB2312" w:hAnsi="Times New Roman" w:eastAsia="仿宋_GB2312" w:cs="仿宋_GB2312"/>
                <w:i w:val="0"/>
                <w:iCs w:val="0"/>
                <w:color w:val="000000"/>
                <w:kern w:val="0"/>
                <w:sz w:val="24"/>
                <w:szCs w:val="24"/>
                <w:u w:val="none"/>
                <w:lang w:val="en-US" w:eastAsia="zh-CN" w:bidi="ar"/>
              </w:rPr>
              <w:t>年</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仿宋_GB2312" w:hAnsi="Times New Roman" w:eastAsia="仿宋_GB2312" w:cs="仿宋_GB2312"/>
                <w:i w:val="0"/>
                <w:iCs w:val="0"/>
                <w:color w:val="000000"/>
                <w:kern w:val="0"/>
                <w:sz w:val="24"/>
                <w:szCs w:val="24"/>
                <w:u w:val="none"/>
                <w:lang w:val="en-US" w:eastAsia="zh-CN" w:bidi="ar"/>
              </w:rPr>
              <w:t>月</w:t>
            </w:r>
            <w:r>
              <w:rPr>
                <w:rFonts w:hint="default" w:ascii="Times New Roman" w:hAnsi="Times New Roman" w:eastAsia="宋体" w:cs="Times New Roman"/>
                <w:i w:val="0"/>
                <w:iCs w:val="0"/>
                <w:color w:val="000000"/>
                <w:kern w:val="0"/>
                <w:sz w:val="24"/>
                <w:szCs w:val="24"/>
                <w:u w:val="none"/>
                <w:lang w:val="en-US" w:eastAsia="zh-CN" w:bidi="ar"/>
              </w:rPr>
              <w:t>31</w:t>
            </w:r>
            <w:r>
              <w:rPr>
                <w:rFonts w:hint="eastAsia" w:ascii="仿宋_GB2312" w:hAnsi="Times New Roman" w:eastAsia="仿宋_GB2312" w:cs="仿宋_GB2312"/>
                <w:i w:val="0"/>
                <w:iCs w:val="0"/>
                <w:color w:val="000000"/>
                <w:kern w:val="0"/>
                <w:sz w:val="24"/>
                <w:szCs w:val="24"/>
                <w:u w:val="none"/>
                <w:lang w:val="en-US" w:eastAsia="zh-CN" w:bidi="ar"/>
              </w:rPr>
              <w:t>日；②用地类型：耕地基准地价估价对象为耕地，包括水田、水浇地和旱地。根据对商南县各类耕地面积进行统计，本次仅对旱地进行基准地价制订，水田和水浇地基准地价执行时在旱地基础上上浮确定；③土地权利年期：</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仿宋_GB2312" w:hAnsi="Times New Roman" w:eastAsia="仿宋_GB2312" w:cs="仿宋_GB2312"/>
                <w:i w:val="0"/>
                <w:iCs w:val="0"/>
                <w:color w:val="000000"/>
                <w:kern w:val="0"/>
                <w:sz w:val="24"/>
                <w:szCs w:val="24"/>
                <w:u w:val="none"/>
                <w:lang w:val="en-US" w:eastAsia="zh-CN" w:bidi="ar"/>
              </w:rPr>
              <w:t>年；④价格类型：耕地基准地价界定为一定区域内，不同级别、不同类型耕地使用权利的平均价格，其实质是农用地农用的价格，农用地转用（非农用途）价格评估不在考虑范围内；⑤耕作制度：根据（《农用地质量分等规程》（</w:t>
            </w:r>
            <w:r>
              <w:rPr>
                <w:rFonts w:hint="default" w:ascii="Times New Roman" w:hAnsi="Times New Roman" w:eastAsia="宋体" w:cs="Times New Roman"/>
                <w:i w:val="0"/>
                <w:iCs w:val="0"/>
                <w:color w:val="000000"/>
                <w:kern w:val="0"/>
                <w:sz w:val="24"/>
                <w:szCs w:val="24"/>
                <w:u w:val="none"/>
                <w:lang w:val="en-US" w:eastAsia="zh-CN" w:bidi="ar"/>
              </w:rPr>
              <w:t>GB/T 28407-2012</w:t>
            </w:r>
            <w:r>
              <w:rPr>
                <w:rFonts w:hint="eastAsia" w:ascii="仿宋_GB2312" w:hAnsi="Times New Roman" w:eastAsia="仿宋_GB2312" w:cs="仿宋_GB2312"/>
                <w:i w:val="0"/>
                <w:iCs w:val="0"/>
                <w:color w:val="000000"/>
                <w:kern w:val="0"/>
                <w:sz w:val="24"/>
                <w:szCs w:val="24"/>
                <w:u w:val="none"/>
                <w:lang w:val="en-US" w:eastAsia="zh-CN" w:bidi="ar"/>
              </w:rPr>
              <w:t>）及商南县</w:t>
            </w:r>
            <w:r>
              <w:rPr>
                <w:rFonts w:hint="default" w:ascii="Times New Roman" w:hAnsi="Times New Roman" w:eastAsia="宋体" w:cs="Times New Roman"/>
                <w:i w:val="0"/>
                <w:iCs w:val="0"/>
                <w:color w:val="000000"/>
                <w:kern w:val="0"/>
                <w:sz w:val="24"/>
                <w:szCs w:val="24"/>
                <w:u w:val="none"/>
                <w:lang w:val="en-US" w:eastAsia="zh-CN" w:bidi="ar"/>
              </w:rPr>
              <w:t>2018</w:t>
            </w:r>
            <w:r>
              <w:rPr>
                <w:rFonts w:hint="eastAsia" w:ascii="仿宋_GB2312" w:hAnsi="Times New Roman" w:eastAsia="仿宋_GB2312" w:cs="仿宋_GB2312"/>
                <w:i w:val="0"/>
                <w:iCs w:val="0"/>
                <w:color w:val="000000"/>
                <w:kern w:val="0"/>
                <w:sz w:val="24"/>
                <w:szCs w:val="24"/>
                <w:u w:val="none"/>
                <w:lang w:val="en-US" w:eastAsia="zh-CN" w:bidi="ar"/>
              </w:rPr>
              <w:t>年耕地质量等别年度更新成果，商南县标准耕作制度为一年一熟</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冬小麦</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夏玉米</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，因此本次按照商南县实际种植作物情况设定基准地价内涵耕作制度为一年一熟</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冬小麦</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夏玉米</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；⑥农田基本设施状况：各级别内耕地设施配套程度的平均水平，具体体现在田间道路情况、土地平整程度、灌溉排水条件和沟渠配套程度等。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7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、土地级别：土地级别分别以《商南县农用地基准地价图》为准。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7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仿宋_GB2312" w:hAnsi="Times New Roman" w:eastAsia="仿宋_GB2312" w:cs="仿宋_GB2312"/>
                <w:i w:val="0"/>
                <w:iCs w:val="0"/>
                <w:color w:val="000000"/>
                <w:kern w:val="0"/>
                <w:sz w:val="24"/>
                <w:szCs w:val="24"/>
                <w:u w:val="none"/>
                <w:lang w:val="en-US" w:eastAsia="zh-CN" w:bidi="ar"/>
              </w:rPr>
              <w:t>、商南县水田面积为</w:t>
            </w:r>
            <w:r>
              <w:rPr>
                <w:rFonts w:hint="default" w:ascii="Times New Roman" w:hAnsi="Times New Roman" w:eastAsia="宋体" w:cs="Times New Roman"/>
                <w:i w:val="0"/>
                <w:iCs w:val="0"/>
                <w:color w:val="000000"/>
                <w:kern w:val="0"/>
                <w:sz w:val="24"/>
                <w:szCs w:val="24"/>
                <w:u w:val="none"/>
                <w:lang w:val="en-US" w:eastAsia="zh-CN" w:bidi="ar"/>
              </w:rPr>
              <w:t>0.54</w:t>
            </w:r>
            <w:r>
              <w:rPr>
                <w:rFonts w:hint="eastAsia" w:ascii="仿宋_GB2312" w:hAnsi="Times New Roman" w:eastAsia="仿宋_GB2312" w:cs="仿宋_GB2312"/>
                <w:i w:val="0"/>
                <w:iCs w:val="0"/>
                <w:color w:val="000000"/>
                <w:kern w:val="0"/>
                <w:sz w:val="24"/>
                <w:szCs w:val="24"/>
                <w:u w:val="none"/>
                <w:lang w:val="en-US" w:eastAsia="zh-CN" w:bidi="ar"/>
              </w:rPr>
              <w:t>公顷，占全县耕地总面积不到</w:t>
            </w:r>
            <w:r>
              <w:rPr>
                <w:rFonts w:hint="default" w:ascii="Times New Roman" w:hAnsi="Times New Roman" w:eastAsia="宋体" w:cs="Times New Roman"/>
                <w:i w:val="0"/>
                <w:iCs w:val="0"/>
                <w:color w:val="000000"/>
                <w:kern w:val="0"/>
                <w:sz w:val="24"/>
                <w:szCs w:val="24"/>
                <w:u w:val="none"/>
                <w:lang w:val="en-US" w:eastAsia="zh-CN" w:bidi="ar"/>
              </w:rPr>
              <w:t>0.01%</w:t>
            </w:r>
            <w:r>
              <w:rPr>
                <w:rFonts w:hint="eastAsia" w:ascii="仿宋_GB2312" w:hAnsi="Times New Roman" w:eastAsia="仿宋_GB2312" w:cs="仿宋_GB2312"/>
                <w:i w:val="0"/>
                <w:iCs w:val="0"/>
                <w:color w:val="000000"/>
                <w:kern w:val="0"/>
                <w:sz w:val="24"/>
                <w:szCs w:val="24"/>
                <w:u w:val="none"/>
                <w:lang w:val="en-US" w:eastAsia="zh-CN" w:bidi="ar"/>
              </w:rPr>
              <w:t>；水浇地面积为</w:t>
            </w:r>
            <w:r>
              <w:rPr>
                <w:rFonts w:hint="default" w:ascii="Times New Roman" w:hAnsi="Times New Roman" w:eastAsia="宋体" w:cs="Times New Roman"/>
                <w:i w:val="0"/>
                <w:iCs w:val="0"/>
                <w:color w:val="000000"/>
                <w:kern w:val="0"/>
                <w:sz w:val="24"/>
                <w:szCs w:val="24"/>
                <w:u w:val="none"/>
                <w:lang w:val="en-US" w:eastAsia="zh-CN" w:bidi="ar"/>
              </w:rPr>
              <w:t>499.93</w:t>
            </w:r>
            <w:r>
              <w:rPr>
                <w:rFonts w:hint="eastAsia" w:ascii="仿宋_GB2312" w:hAnsi="Times New Roman" w:eastAsia="仿宋_GB2312" w:cs="仿宋_GB2312"/>
                <w:i w:val="0"/>
                <w:iCs w:val="0"/>
                <w:color w:val="000000"/>
                <w:kern w:val="0"/>
                <w:sz w:val="24"/>
                <w:szCs w:val="24"/>
                <w:u w:val="none"/>
                <w:lang w:val="en-US" w:eastAsia="zh-CN" w:bidi="ar"/>
              </w:rPr>
              <w:t>公顷，占全县耕地总面积的</w:t>
            </w:r>
            <w:r>
              <w:rPr>
                <w:rFonts w:hint="default" w:ascii="Times New Roman" w:hAnsi="Times New Roman" w:eastAsia="宋体" w:cs="Times New Roman"/>
                <w:i w:val="0"/>
                <w:iCs w:val="0"/>
                <w:color w:val="000000"/>
                <w:kern w:val="0"/>
                <w:sz w:val="24"/>
                <w:szCs w:val="24"/>
                <w:u w:val="none"/>
                <w:lang w:val="en-US" w:eastAsia="zh-CN" w:bidi="ar"/>
              </w:rPr>
              <w:t>3.13%</w:t>
            </w:r>
            <w:r>
              <w:rPr>
                <w:rFonts w:hint="eastAsia" w:ascii="仿宋_GB2312" w:hAnsi="Times New Roman" w:eastAsia="仿宋_GB2312" w:cs="仿宋_GB2312"/>
                <w:i w:val="0"/>
                <w:iCs w:val="0"/>
                <w:color w:val="000000"/>
                <w:kern w:val="0"/>
                <w:sz w:val="24"/>
                <w:szCs w:val="24"/>
                <w:u w:val="none"/>
                <w:lang w:val="en-US" w:eastAsia="zh-CN" w:bidi="ar"/>
              </w:rPr>
              <w:t>，本次仅对旱地进行基准地价评估；经测算，水田和水浇地相较于旱地地价水平高，平均高出旱地约</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仿宋_GB2312" w:hAnsi="Times New Roman" w:eastAsia="仿宋_GB2312" w:cs="仿宋_GB2312"/>
                <w:i w:val="0"/>
                <w:iCs w:val="0"/>
                <w:color w:val="000000"/>
                <w:kern w:val="0"/>
                <w:sz w:val="24"/>
                <w:szCs w:val="24"/>
                <w:u w:val="none"/>
                <w:lang w:val="en-US" w:eastAsia="zh-CN" w:bidi="ar"/>
              </w:rPr>
              <w:t>，因此水田和水浇地基准地价参照旱地基准地价上浮</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仿宋_GB2312" w:hAnsi="Times New Roman" w:eastAsia="仿宋_GB2312" w:cs="仿宋_GB2312"/>
                <w:i w:val="0"/>
                <w:iCs w:val="0"/>
                <w:color w:val="000000"/>
                <w:kern w:val="0"/>
                <w:sz w:val="24"/>
                <w:szCs w:val="24"/>
                <w:u w:val="none"/>
                <w:lang w:val="en-US" w:eastAsia="zh-CN" w:bidi="ar"/>
              </w:rPr>
              <w:t>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4"/>
                <w:szCs w:val="24"/>
                <w:u w:val="none"/>
              </w:rPr>
            </w:pPr>
          </w:p>
        </w:tc>
        <w:tc>
          <w:tcPr>
            <w:tcW w:w="7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仿宋_GB2312" w:hAnsi="Times New Roman" w:eastAsia="仿宋_GB2312" w:cs="仿宋_GB2312"/>
                <w:i w:val="0"/>
                <w:iCs w:val="0"/>
                <w:color w:val="000000"/>
                <w:kern w:val="0"/>
                <w:sz w:val="24"/>
                <w:szCs w:val="24"/>
                <w:u w:val="none"/>
                <w:lang w:val="en-US" w:eastAsia="zh-CN" w:bidi="ar"/>
              </w:rPr>
              <w:t>、本次基准地价评估的价格为承包经营权价格，经营权参照承包经营权价格进行修正。</w:t>
            </w:r>
          </w:p>
        </w:tc>
      </w:tr>
    </w:tbl>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sectPr>
      <w:pgSz w:w="11906" w:h="16838"/>
      <w:pgMar w:top="1134" w:right="1474" w:bottom="567" w:left="1587" w:header="567" w:footer="1530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5NTkwNWM5ZjAwZjYyZjE2ZTdiMDI1YTlmMTczZWIifQ=="/>
  </w:docVars>
  <w:rsids>
    <w:rsidRoot w:val="004613FB"/>
    <w:rsid w:val="000F52A7"/>
    <w:rsid w:val="00114884"/>
    <w:rsid w:val="003A07E2"/>
    <w:rsid w:val="004613FB"/>
    <w:rsid w:val="004A2CCD"/>
    <w:rsid w:val="004B2B21"/>
    <w:rsid w:val="007228FF"/>
    <w:rsid w:val="0079416E"/>
    <w:rsid w:val="00806F06"/>
    <w:rsid w:val="00CB3D46"/>
    <w:rsid w:val="00CD1788"/>
    <w:rsid w:val="00D37A12"/>
    <w:rsid w:val="00D40D69"/>
    <w:rsid w:val="00F12994"/>
    <w:rsid w:val="00F70870"/>
    <w:rsid w:val="01145609"/>
    <w:rsid w:val="019B53E2"/>
    <w:rsid w:val="01E7687A"/>
    <w:rsid w:val="0233386D"/>
    <w:rsid w:val="02624152"/>
    <w:rsid w:val="038D51FF"/>
    <w:rsid w:val="039D7B38"/>
    <w:rsid w:val="03F11C32"/>
    <w:rsid w:val="04074FB1"/>
    <w:rsid w:val="041D47D5"/>
    <w:rsid w:val="04702B56"/>
    <w:rsid w:val="050414F1"/>
    <w:rsid w:val="051F632A"/>
    <w:rsid w:val="05787E2C"/>
    <w:rsid w:val="066606B5"/>
    <w:rsid w:val="06ED4932"/>
    <w:rsid w:val="0736266A"/>
    <w:rsid w:val="07754928"/>
    <w:rsid w:val="07BE5E08"/>
    <w:rsid w:val="08253C58"/>
    <w:rsid w:val="088C3CD7"/>
    <w:rsid w:val="08C77405"/>
    <w:rsid w:val="09436A8B"/>
    <w:rsid w:val="097A7FD3"/>
    <w:rsid w:val="0A342878"/>
    <w:rsid w:val="0A3B7763"/>
    <w:rsid w:val="0A7F1AE4"/>
    <w:rsid w:val="0AA07F0D"/>
    <w:rsid w:val="0B5605CC"/>
    <w:rsid w:val="0B745622"/>
    <w:rsid w:val="0B865355"/>
    <w:rsid w:val="0BCD088E"/>
    <w:rsid w:val="0C4F74F5"/>
    <w:rsid w:val="0CEC568C"/>
    <w:rsid w:val="0D35493D"/>
    <w:rsid w:val="0D3A1F53"/>
    <w:rsid w:val="0D3C216F"/>
    <w:rsid w:val="0D533015"/>
    <w:rsid w:val="0D5E3A73"/>
    <w:rsid w:val="0D837D9E"/>
    <w:rsid w:val="0D870F11"/>
    <w:rsid w:val="0DB717F6"/>
    <w:rsid w:val="0E417312"/>
    <w:rsid w:val="0E686F94"/>
    <w:rsid w:val="0F032819"/>
    <w:rsid w:val="0F607C6B"/>
    <w:rsid w:val="0F6C7BA3"/>
    <w:rsid w:val="10101691"/>
    <w:rsid w:val="107734BE"/>
    <w:rsid w:val="109A05F6"/>
    <w:rsid w:val="112C42A9"/>
    <w:rsid w:val="115F642C"/>
    <w:rsid w:val="11916802"/>
    <w:rsid w:val="119D51A7"/>
    <w:rsid w:val="11FE3E97"/>
    <w:rsid w:val="122B6C7D"/>
    <w:rsid w:val="124473D0"/>
    <w:rsid w:val="126D2DCB"/>
    <w:rsid w:val="12B66520"/>
    <w:rsid w:val="13315BA7"/>
    <w:rsid w:val="143F60A1"/>
    <w:rsid w:val="1441725C"/>
    <w:rsid w:val="14445DAD"/>
    <w:rsid w:val="146E4BD8"/>
    <w:rsid w:val="14BF71E2"/>
    <w:rsid w:val="14C36CD2"/>
    <w:rsid w:val="152F25BA"/>
    <w:rsid w:val="154047C7"/>
    <w:rsid w:val="15D171CD"/>
    <w:rsid w:val="15D8055B"/>
    <w:rsid w:val="16491459"/>
    <w:rsid w:val="1663076D"/>
    <w:rsid w:val="1675224E"/>
    <w:rsid w:val="16847956"/>
    <w:rsid w:val="168626AD"/>
    <w:rsid w:val="169052DA"/>
    <w:rsid w:val="16985F3D"/>
    <w:rsid w:val="16AD3796"/>
    <w:rsid w:val="16CD3CF1"/>
    <w:rsid w:val="17996410"/>
    <w:rsid w:val="17E56F60"/>
    <w:rsid w:val="180A4C18"/>
    <w:rsid w:val="19006747"/>
    <w:rsid w:val="19265A82"/>
    <w:rsid w:val="193E2DCB"/>
    <w:rsid w:val="19F4792E"/>
    <w:rsid w:val="1AD80FFE"/>
    <w:rsid w:val="1AF57E02"/>
    <w:rsid w:val="1BD47F09"/>
    <w:rsid w:val="1BEC2FB3"/>
    <w:rsid w:val="1C054074"/>
    <w:rsid w:val="1C1222ED"/>
    <w:rsid w:val="1C817B9F"/>
    <w:rsid w:val="1D047E88"/>
    <w:rsid w:val="1D69418F"/>
    <w:rsid w:val="1D880AB9"/>
    <w:rsid w:val="1E4A0464"/>
    <w:rsid w:val="1E5866DD"/>
    <w:rsid w:val="1E743F51"/>
    <w:rsid w:val="1EAA2CB1"/>
    <w:rsid w:val="1EB83620"/>
    <w:rsid w:val="1EF503D0"/>
    <w:rsid w:val="1F3F789D"/>
    <w:rsid w:val="1F51312D"/>
    <w:rsid w:val="1F5B6042"/>
    <w:rsid w:val="1F615A66"/>
    <w:rsid w:val="2099122F"/>
    <w:rsid w:val="210B5C89"/>
    <w:rsid w:val="214967B1"/>
    <w:rsid w:val="21584C46"/>
    <w:rsid w:val="21676C37"/>
    <w:rsid w:val="218912A4"/>
    <w:rsid w:val="2274785E"/>
    <w:rsid w:val="22910410"/>
    <w:rsid w:val="2375388E"/>
    <w:rsid w:val="2388477E"/>
    <w:rsid w:val="23971A56"/>
    <w:rsid w:val="23E32EED"/>
    <w:rsid w:val="23E822B1"/>
    <w:rsid w:val="23F724F4"/>
    <w:rsid w:val="24013373"/>
    <w:rsid w:val="241412F8"/>
    <w:rsid w:val="248024EA"/>
    <w:rsid w:val="249B0281"/>
    <w:rsid w:val="24A501A2"/>
    <w:rsid w:val="24DB0068"/>
    <w:rsid w:val="24E56A51"/>
    <w:rsid w:val="252437BD"/>
    <w:rsid w:val="25A95A70"/>
    <w:rsid w:val="25C96F1B"/>
    <w:rsid w:val="25E116AE"/>
    <w:rsid w:val="25ED0053"/>
    <w:rsid w:val="26235823"/>
    <w:rsid w:val="2626345E"/>
    <w:rsid w:val="26991969"/>
    <w:rsid w:val="26997893"/>
    <w:rsid w:val="26D92385"/>
    <w:rsid w:val="26FB22FC"/>
    <w:rsid w:val="27220E4F"/>
    <w:rsid w:val="277D5407"/>
    <w:rsid w:val="278E3170"/>
    <w:rsid w:val="27E86D24"/>
    <w:rsid w:val="281008CE"/>
    <w:rsid w:val="28A8200F"/>
    <w:rsid w:val="29341449"/>
    <w:rsid w:val="297A7E50"/>
    <w:rsid w:val="299802D6"/>
    <w:rsid w:val="29FA2D3E"/>
    <w:rsid w:val="29FC6AB7"/>
    <w:rsid w:val="2A506E02"/>
    <w:rsid w:val="2A64640A"/>
    <w:rsid w:val="2A701253"/>
    <w:rsid w:val="2A73664D"/>
    <w:rsid w:val="2A761AC6"/>
    <w:rsid w:val="2AD4533E"/>
    <w:rsid w:val="2AD510B6"/>
    <w:rsid w:val="2ADA66CC"/>
    <w:rsid w:val="2B081375"/>
    <w:rsid w:val="2B2F4C6A"/>
    <w:rsid w:val="2B8C5C18"/>
    <w:rsid w:val="2BE23A8A"/>
    <w:rsid w:val="2C2916B9"/>
    <w:rsid w:val="2C402EB9"/>
    <w:rsid w:val="2C730B86"/>
    <w:rsid w:val="2CDF621C"/>
    <w:rsid w:val="2D095047"/>
    <w:rsid w:val="2D0F4D53"/>
    <w:rsid w:val="2D5C161A"/>
    <w:rsid w:val="2D6F75A0"/>
    <w:rsid w:val="2DCE2518"/>
    <w:rsid w:val="2E0423DE"/>
    <w:rsid w:val="2E431367"/>
    <w:rsid w:val="2E7A26A0"/>
    <w:rsid w:val="2F154177"/>
    <w:rsid w:val="2F45680A"/>
    <w:rsid w:val="2F595CF5"/>
    <w:rsid w:val="2FC02334"/>
    <w:rsid w:val="2FED29FE"/>
    <w:rsid w:val="30182170"/>
    <w:rsid w:val="301D1535"/>
    <w:rsid w:val="303074BA"/>
    <w:rsid w:val="30751371"/>
    <w:rsid w:val="30760C45"/>
    <w:rsid w:val="30AD0B0B"/>
    <w:rsid w:val="30DA5678"/>
    <w:rsid w:val="311961A0"/>
    <w:rsid w:val="3159659D"/>
    <w:rsid w:val="31631CA3"/>
    <w:rsid w:val="3179279B"/>
    <w:rsid w:val="3216623C"/>
    <w:rsid w:val="323D7C6C"/>
    <w:rsid w:val="32AC094E"/>
    <w:rsid w:val="32B1065A"/>
    <w:rsid w:val="32B819E9"/>
    <w:rsid w:val="32E225C2"/>
    <w:rsid w:val="333A0650"/>
    <w:rsid w:val="334B460B"/>
    <w:rsid w:val="33590AD6"/>
    <w:rsid w:val="337B40DA"/>
    <w:rsid w:val="33DB773D"/>
    <w:rsid w:val="34205B4A"/>
    <w:rsid w:val="343B01DB"/>
    <w:rsid w:val="348A2F11"/>
    <w:rsid w:val="34B85CD0"/>
    <w:rsid w:val="35A3428A"/>
    <w:rsid w:val="35A63D7A"/>
    <w:rsid w:val="35AD5109"/>
    <w:rsid w:val="35B50461"/>
    <w:rsid w:val="35C42453"/>
    <w:rsid w:val="35C506A4"/>
    <w:rsid w:val="36483084"/>
    <w:rsid w:val="365E6403"/>
    <w:rsid w:val="36657792"/>
    <w:rsid w:val="367125DA"/>
    <w:rsid w:val="37144D14"/>
    <w:rsid w:val="378B76CC"/>
    <w:rsid w:val="37C14E9C"/>
    <w:rsid w:val="37D3697D"/>
    <w:rsid w:val="37E82428"/>
    <w:rsid w:val="382D42DF"/>
    <w:rsid w:val="38855EC9"/>
    <w:rsid w:val="391B6929"/>
    <w:rsid w:val="3A327E40"/>
    <w:rsid w:val="3A5C0EAC"/>
    <w:rsid w:val="3B023801"/>
    <w:rsid w:val="3C011D0B"/>
    <w:rsid w:val="3C074E47"/>
    <w:rsid w:val="3C8666B4"/>
    <w:rsid w:val="3CA408E8"/>
    <w:rsid w:val="3D0F48FB"/>
    <w:rsid w:val="3D2008B6"/>
    <w:rsid w:val="3D2274D6"/>
    <w:rsid w:val="3D2E2FD3"/>
    <w:rsid w:val="3D7242CB"/>
    <w:rsid w:val="3D8175A7"/>
    <w:rsid w:val="3D9B1CEB"/>
    <w:rsid w:val="3D9D5A63"/>
    <w:rsid w:val="3DBF3C2B"/>
    <w:rsid w:val="3E350287"/>
    <w:rsid w:val="3E6F0E2D"/>
    <w:rsid w:val="3EE6343A"/>
    <w:rsid w:val="3F3348D1"/>
    <w:rsid w:val="3FEF6B0B"/>
    <w:rsid w:val="4004626D"/>
    <w:rsid w:val="401144E6"/>
    <w:rsid w:val="40204729"/>
    <w:rsid w:val="40664832"/>
    <w:rsid w:val="40754A75"/>
    <w:rsid w:val="40925627"/>
    <w:rsid w:val="409A0980"/>
    <w:rsid w:val="40C63523"/>
    <w:rsid w:val="40EC62ED"/>
    <w:rsid w:val="40FE2CBD"/>
    <w:rsid w:val="41CC58DC"/>
    <w:rsid w:val="42642FF3"/>
    <w:rsid w:val="428B0580"/>
    <w:rsid w:val="42AE24C0"/>
    <w:rsid w:val="431E7646"/>
    <w:rsid w:val="432033BE"/>
    <w:rsid w:val="432F53AF"/>
    <w:rsid w:val="43301127"/>
    <w:rsid w:val="43996CCD"/>
    <w:rsid w:val="43C95804"/>
    <w:rsid w:val="445157F9"/>
    <w:rsid w:val="4517434D"/>
    <w:rsid w:val="45280308"/>
    <w:rsid w:val="45DE30BD"/>
    <w:rsid w:val="4642189D"/>
    <w:rsid w:val="4646138E"/>
    <w:rsid w:val="468A0B4E"/>
    <w:rsid w:val="46971BE9"/>
    <w:rsid w:val="4698326B"/>
    <w:rsid w:val="46BD0F24"/>
    <w:rsid w:val="46E14C12"/>
    <w:rsid w:val="46EE732F"/>
    <w:rsid w:val="471548BC"/>
    <w:rsid w:val="475A2C17"/>
    <w:rsid w:val="47BA4746"/>
    <w:rsid w:val="4800731A"/>
    <w:rsid w:val="48124A2A"/>
    <w:rsid w:val="48284D0B"/>
    <w:rsid w:val="48325223"/>
    <w:rsid w:val="483416BA"/>
    <w:rsid w:val="484235BB"/>
    <w:rsid w:val="48497501"/>
    <w:rsid w:val="485F6737"/>
    <w:rsid w:val="4867383D"/>
    <w:rsid w:val="49A40179"/>
    <w:rsid w:val="49EC224C"/>
    <w:rsid w:val="4A205A52"/>
    <w:rsid w:val="4A534079"/>
    <w:rsid w:val="4A5E2A1E"/>
    <w:rsid w:val="4A987CDE"/>
    <w:rsid w:val="4AD14F9E"/>
    <w:rsid w:val="4AF313B8"/>
    <w:rsid w:val="4B1F3F5B"/>
    <w:rsid w:val="4B215F25"/>
    <w:rsid w:val="4B904E59"/>
    <w:rsid w:val="4B942AC7"/>
    <w:rsid w:val="4BE13907"/>
    <w:rsid w:val="4C5B7215"/>
    <w:rsid w:val="4CCC3C6F"/>
    <w:rsid w:val="4CD62D3F"/>
    <w:rsid w:val="4CE54D31"/>
    <w:rsid w:val="4CE865CF"/>
    <w:rsid w:val="4D2515D1"/>
    <w:rsid w:val="4D422183"/>
    <w:rsid w:val="4D493511"/>
    <w:rsid w:val="4D6C0FAE"/>
    <w:rsid w:val="4DAE7818"/>
    <w:rsid w:val="4DC64B62"/>
    <w:rsid w:val="4DD74FC1"/>
    <w:rsid w:val="4ECA55D6"/>
    <w:rsid w:val="4F9D5D96"/>
    <w:rsid w:val="50AA2519"/>
    <w:rsid w:val="50D852D8"/>
    <w:rsid w:val="50E83041"/>
    <w:rsid w:val="50F25C6E"/>
    <w:rsid w:val="51085492"/>
    <w:rsid w:val="517A638F"/>
    <w:rsid w:val="51AB479B"/>
    <w:rsid w:val="51DB6702"/>
    <w:rsid w:val="51EC090F"/>
    <w:rsid w:val="520B348B"/>
    <w:rsid w:val="522D1654"/>
    <w:rsid w:val="525A1D1D"/>
    <w:rsid w:val="52CA2C42"/>
    <w:rsid w:val="5334431C"/>
    <w:rsid w:val="53513120"/>
    <w:rsid w:val="5362532D"/>
    <w:rsid w:val="54106B37"/>
    <w:rsid w:val="542D76E9"/>
    <w:rsid w:val="543C3DD0"/>
    <w:rsid w:val="54534C76"/>
    <w:rsid w:val="54B64BBC"/>
    <w:rsid w:val="54BA4CF5"/>
    <w:rsid w:val="54DC4C6B"/>
    <w:rsid w:val="550B5550"/>
    <w:rsid w:val="553D7E00"/>
    <w:rsid w:val="559D089E"/>
    <w:rsid w:val="55A859D5"/>
    <w:rsid w:val="55AC6D33"/>
    <w:rsid w:val="55B654BC"/>
    <w:rsid w:val="55C73B6D"/>
    <w:rsid w:val="55E93AE3"/>
    <w:rsid w:val="566D0271"/>
    <w:rsid w:val="568E01E7"/>
    <w:rsid w:val="569A6B8C"/>
    <w:rsid w:val="56D93B58"/>
    <w:rsid w:val="56E16569"/>
    <w:rsid w:val="57030BD5"/>
    <w:rsid w:val="570A1F63"/>
    <w:rsid w:val="57794805"/>
    <w:rsid w:val="578515EA"/>
    <w:rsid w:val="5789732C"/>
    <w:rsid w:val="57A852D8"/>
    <w:rsid w:val="57BB500C"/>
    <w:rsid w:val="57BC2B32"/>
    <w:rsid w:val="57F10A2D"/>
    <w:rsid w:val="58247055"/>
    <w:rsid w:val="582C7CB7"/>
    <w:rsid w:val="585D60C3"/>
    <w:rsid w:val="586C27AA"/>
    <w:rsid w:val="587F6039"/>
    <w:rsid w:val="58F033DB"/>
    <w:rsid w:val="591744C4"/>
    <w:rsid w:val="596A6CE9"/>
    <w:rsid w:val="59745DBA"/>
    <w:rsid w:val="59883613"/>
    <w:rsid w:val="599B50F5"/>
    <w:rsid w:val="59CA7788"/>
    <w:rsid w:val="5A5F25C6"/>
    <w:rsid w:val="5A673229"/>
    <w:rsid w:val="5ACB7C5C"/>
    <w:rsid w:val="5AE64A95"/>
    <w:rsid w:val="5B0B44FC"/>
    <w:rsid w:val="5B2D7FCE"/>
    <w:rsid w:val="5B4377F2"/>
    <w:rsid w:val="5B4D0671"/>
    <w:rsid w:val="5B687259"/>
    <w:rsid w:val="5B975D90"/>
    <w:rsid w:val="5BBB7CD0"/>
    <w:rsid w:val="5C0F5926"/>
    <w:rsid w:val="5CEE19DF"/>
    <w:rsid w:val="5D380EAD"/>
    <w:rsid w:val="5D415FB3"/>
    <w:rsid w:val="5D845EA0"/>
    <w:rsid w:val="5DC664B8"/>
    <w:rsid w:val="5DF70D68"/>
    <w:rsid w:val="5E145476"/>
    <w:rsid w:val="5E23390B"/>
    <w:rsid w:val="5E260A66"/>
    <w:rsid w:val="5E8C14B0"/>
    <w:rsid w:val="5F013C4C"/>
    <w:rsid w:val="5F950838"/>
    <w:rsid w:val="5FD50C35"/>
    <w:rsid w:val="602D0A71"/>
    <w:rsid w:val="60AF76D8"/>
    <w:rsid w:val="61363955"/>
    <w:rsid w:val="618B1EF3"/>
    <w:rsid w:val="61C13F8E"/>
    <w:rsid w:val="61E95C00"/>
    <w:rsid w:val="624F4CCE"/>
    <w:rsid w:val="62606EDB"/>
    <w:rsid w:val="62921077"/>
    <w:rsid w:val="635307EE"/>
    <w:rsid w:val="63C11BFC"/>
    <w:rsid w:val="64065861"/>
    <w:rsid w:val="64170096"/>
    <w:rsid w:val="643945F5"/>
    <w:rsid w:val="6445282D"/>
    <w:rsid w:val="644F7208"/>
    <w:rsid w:val="646D768E"/>
    <w:rsid w:val="64722EF6"/>
    <w:rsid w:val="649C61C5"/>
    <w:rsid w:val="64EE123C"/>
    <w:rsid w:val="653647A3"/>
    <w:rsid w:val="658B0713"/>
    <w:rsid w:val="65A5070E"/>
    <w:rsid w:val="65C47781"/>
    <w:rsid w:val="65DC2D1D"/>
    <w:rsid w:val="66344907"/>
    <w:rsid w:val="6639016F"/>
    <w:rsid w:val="66A355E9"/>
    <w:rsid w:val="66E24698"/>
    <w:rsid w:val="670047E9"/>
    <w:rsid w:val="67A55390"/>
    <w:rsid w:val="67E660D5"/>
    <w:rsid w:val="67EB36EB"/>
    <w:rsid w:val="682D7860"/>
    <w:rsid w:val="688E5502"/>
    <w:rsid w:val="689A0C6D"/>
    <w:rsid w:val="68B0223F"/>
    <w:rsid w:val="68B03FED"/>
    <w:rsid w:val="69731BEA"/>
    <w:rsid w:val="697A2F79"/>
    <w:rsid w:val="69913E1E"/>
    <w:rsid w:val="69DD7064"/>
    <w:rsid w:val="6A0665BA"/>
    <w:rsid w:val="6A3053E5"/>
    <w:rsid w:val="6AA67D9D"/>
    <w:rsid w:val="6AC41FD2"/>
    <w:rsid w:val="6AD84F47"/>
    <w:rsid w:val="6B340F05"/>
    <w:rsid w:val="6C5D448C"/>
    <w:rsid w:val="6C6D2921"/>
    <w:rsid w:val="6D605FE2"/>
    <w:rsid w:val="6D90603C"/>
    <w:rsid w:val="6DCF4F15"/>
    <w:rsid w:val="6E0E0133"/>
    <w:rsid w:val="6E1D0376"/>
    <w:rsid w:val="6E4E6782"/>
    <w:rsid w:val="6E71421E"/>
    <w:rsid w:val="6EBE3907"/>
    <w:rsid w:val="6EC66318"/>
    <w:rsid w:val="6F2A2D4B"/>
    <w:rsid w:val="6F377216"/>
    <w:rsid w:val="6F537DC8"/>
    <w:rsid w:val="6F767D3E"/>
    <w:rsid w:val="6FF84BF7"/>
    <w:rsid w:val="6FFB6495"/>
    <w:rsid w:val="702E0619"/>
    <w:rsid w:val="709D579F"/>
    <w:rsid w:val="70B86135"/>
    <w:rsid w:val="70F03B20"/>
    <w:rsid w:val="70FF5B11"/>
    <w:rsid w:val="711A6DEF"/>
    <w:rsid w:val="719032A4"/>
    <w:rsid w:val="71FD4747"/>
    <w:rsid w:val="72192C03"/>
    <w:rsid w:val="726E2F4F"/>
    <w:rsid w:val="72A20E4A"/>
    <w:rsid w:val="72AC7F1B"/>
    <w:rsid w:val="72FD2525"/>
    <w:rsid w:val="73076EFF"/>
    <w:rsid w:val="73171838"/>
    <w:rsid w:val="734737A0"/>
    <w:rsid w:val="73497518"/>
    <w:rsid w:val="735008A6"/>
    <w:rsid w:val="736B1B84"/>
    <w:rsid w:val="738F1FAE"/>
    <w:rsid w:val="73E21E46"/>
    <w:rsid w:val="75497CA3"/>
    <w:rsid w:val="754E0E15"/>
    <w:rsid w:val="757F1917"/>
    <w:rsid w:val="75894543"/>
    <w:rsid w:val="75D25EEA"/>
    <w:rsid w:val="75DC4673"/>
    <w:rsid w:val="760065B4"/>
    <w:rsid w:val="764010A6"/>
    <w:rsid w:val="76960CC6"/>
    <w:rsid w:val="77C27899"/>
    <w:rsid w:val="77F959B0"/>
    <w:rsid w:val="78623FCE"/>
    <w:rsid w:val="78AC657F"/>
    <w:rsid w:val="78FB5E7D"/>
    <w:rsid w:val="796E3958"/>
    <w:rsid w:val="79782905"/>
    <w:rsid w:val="79A47B9E"/>
    <w:rsid w:val="79C142AC"/>
    <w:rsid w:val="7A3441D5"/>
    <w:rsid w:val="7AA02113"/>
    <w:rsid w:val="7AA8546C"/>
    <w:rsid w:val="7ABD0F17"/>
    <w:rsid w:val="7AD5460D"/>
    <w:rsid w:val="7AD95625"/>
    <w:rsid w:val="7B6E5D6D"/>
    <w:rsid w:val="7BB37C24"/>
    <w:rsid w:val="7BB51BEE"/>
    <w:rsid w:val="7C324FED"/>
    <w:rsid w:val="7C372603"/>
    <w:rsid w:val="7CA56B7F"/>
    <w:rsid w:val="7CDD4BBA"/>
    <w:rsid w:val="7CEC3737"/>
    <w:rsid w:val="7D910439"/>
    <w:rsid w:val="7DD00F61"/>
    <w:rsid w:val="7EAB552B"/>
    <w:rsid w:val="7EC65EC0"/>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11"/>
    <w:basedOn w:val="5"/>
    <w:uiPriority w:val="0"/>
    <w:rPr>
      <w:rFonts w:hint="eastAsia" w:ascii="方正小标宋简体" w:hAnsi="方正小标宋简体" w:eastAsia="方正小标宋简体" w:cs="方正小标宋简体"/>
      <w:color w:val="000000"/>
      <w:sz w:val="40"/>
      <w:szCs w:val="40"/>
      <w:u w:val="none"/>
    </w:rPr>
  </w:style>
  <w:style w:type="character" w:customStyle="1" w:styleId="9">
    <w:name w:val="font21"/>
    <w:basedOn w:val="5"/>
    <w:uiPriority w:val="0"/>
    <w:rPr>
      <w:rFonts w:hint="eastAsia" w:ascii="方正小标宋简体" w:hAnsi="方正小标宋简体" w:eastAsia="方正小标宋简体" w:cs="方正小标宋简体"/>
      <w:color w:val="000000"/>
      <w:sz w:val="40"/>
      <w:szCs w:val="40"/>
      <w:u w:val="none"/>
    </w:rPr>
  </w:style>
  <w:style w:type="character" w:customStyle="1" w:styleId="10">
    <w:name w:val="font31"/>
    <w:basedOn w:val="5"/>
    <w:uiPriority w:val="0"/>
    <w:rPr>
      <w:rFonts w:hint="eastAsia" w:ascii="仿宋_GB2312" w:eastAsia="仿宋_GB2312" w:cs="仿宋_GB2312"/>
      <w:color w:val="000000"/>
      <w:sz w:val="24"/>
      <w:szCs w:val="24"/>
      <w:u w:val="none"/>
    </w:rPr>
  </w:style>
  <w:style w:type="character" w:customStyle="1" w:styleId="11">
    <w:name w:val="font51"/>
    <w:basedOn w:val="5"/>
    <w:uiPriority w:val="0"/>
    <w:rPr>
      <w:rFonts w:hint="default" w:ascii="Times New Roman" w:hAnsi="Times New Roman" w:cs="Times New Roman"/>
      <w:color w:val="000000"/>
      <w:sz w:val="24"/>
      <w:szCs w:val="24"/>
      <w:u w:val="none"/>
    </w:rPr>
  </w:style>
  <w:style w:type="character" w:customStyle="1" w:styleId="12">
    <w:name w:val="font4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1231</Words>
  <Characters>1368</Characters>
  <Lines>2</Lines>
  <Paragraphs>1</Paragraphs>
  <TotalTime>6</TotalTime>
  <ScaleCrop>false</ScaleCrop>
  <LinksUpToDate>false</LinksUpToDate>
  <CharactersWithSpaces>1375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2021-05-18T03:15:00Z</dcterms:created>
  <dc:creator>Microsoft</dc:creator>
  <cp:lastModifiedBy>Administrator</cp:lastModifiedBy>
  <cp:lastPrinted>2022-06-07T03:13:00Z</cp:lastPrinted>
  <dcterms:modified xsi:type="dcterms:W3CDTF">2022-06-07T07:21:01Z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D7527512870D49DBBF04EE49BEF7E2DB</vt:lpwstr>
  </property>
</Properties>
</file>